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A94" w:rsidRPr="00BE6A94" w:rsidRDefault="001D7060" w:rsidP="00BE6A94">
            <w:pPr>
              <w:pStyle w:val="a5"/>
              <w:ind w:firstLine="345"/>
              <w:jc w:val="right"/>
              <w:rPr>
                <w:color w:val="000000"/>
                <w:sz w:val="16"/>
                <w:szCs w:val="16"/>
              </w:rPr>
            </w:pPr>
            <w:r w:rsidRPr="008D1313">
              <w:rPr>
                <w:color w:val="000000"/>
                <w:sz w:val="16"/>
                <w:szCs w:val="16"/>
              </w:rPr>
              <w:t>Приложение №</w:t>
            </w:r>
            <w:r w:rsidR="003A1452">
              <w:rPr>
                <w:color w:val="000000"/>
                <w:sz w:val="16"/>
                <w:szCs w:val="16"/>
              </w:rPr>
              <w:t>6</w:t>
            </w:r>
            <w:r w:rsidRPr="008D1313">
              <w:rPr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color w:val="000000"/>
                <w:sz w:val="16"/>
                <w:szCs w:val="16"/>
              </w:rPr>
              <w:br/>
            </w:r>
            <w:r w:rsidR="00BE6A94" w:rsidRPr="00BE6A94">
              <w:rPr>
                <w:color w:val="000000"/>
                <w:sz w:val="16"/>
                <w:szCs w:val="16"/>
              </w:rPr>
              <w:t xml:space="preserve"> от 10.07.2023  № 228</w:t>
            </w:r>
          </w:p>
          <w:p w:rsidR="001D7060" w:rsidRPr="00BE6A94" w:rsidRDefault="001D7060" w:rsidP="003A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57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5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5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57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1.Программа - муниципальная  программа 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57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2. Подпрограмма  - подпрограмма муниципальной  программы  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1 486 693,982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1 654 827,343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1 320 417,228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1 332 526,772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7 088 336,469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551 311,781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593 150,133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538 131,032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543 607,032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2 727 740,924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253 794,802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259 187,769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249 280,432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249 280,432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1 234 475,785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203 622,684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213 336,309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212 428,972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212 428,972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1 029 429,407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36 402,120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181 956,500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298,462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618,342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1.004. «Оснащение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«Оснащение муниципальных дошкольных образовательных организаций уличными игровыми комплексами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987,800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    987,800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комплексами, в общей численности воспитанников образовательных организаций муниципального образования Тверской области, реализующих программы дошкольного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 муниципальных дошкольных образовательных учреждений за счет средств, поступающих в бюджет Конаковского района в виде благотворительной помощи»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9 000,000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9 000,000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18 000,000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за счет средств, поступающих в бюджет Конаковского района в виде благотворительной помощи».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1.007.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3 438,997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  3 438,997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1.008.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  34,739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            34,739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277 582,000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1 408 352,600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71,866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71,263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260 368,900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1 314 635,300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93 717,300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19 934,979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45 271,764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5 636,000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84 912,539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19 654,979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45 111,764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5 476,000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77 931,039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755,000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799 554,529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925 913,509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656 402,544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663 036,088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3 713 664,267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741 634,817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862 287,643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594 896,233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602 857,177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3 416 834,167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8 700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451 787,900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2 321 921,700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53,642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54,061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54,061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52,979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88 196,049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92 960,872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87 038,233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86 999,177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442 086,078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8 700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69 500,743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99 357,718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205 890,983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188 979,700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1 420,872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738,000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1 004,100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1 351,900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мероприятий по капитальному ремонту школ, 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несофинансируемых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84 699,177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151 830,753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236 529,930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3 129,900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9 036,200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12 166,100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1.013.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118,585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118,585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1.014.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1,199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существления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единовременной выплаты к началу учебного года работникам муниципальных общеобразовательных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1.015. «Расходы на обеспечение выполнения мероприятий по строительству общеобразовательной школы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100 ученических мест в д.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Вахонино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2 293,620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2 293,620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8 463,526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38 216,904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10 574,400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26 738,804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2.003 «Расходы на реализацию проектов школьных инициатив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903,700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903,700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проектов школьных инициатив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«Создание  современной системы оценки индивидуальных образовательных достижений </w:t>
            </w: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49 725,453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54 471,692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53 255,837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51 928,437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254 940,819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44 554,000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44 554,000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43 079,100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217 312,900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«Охват обучающихся, получающих начальное общее образование в муниципальных общеобразовательных организациях, бесплатным горячим питанием»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6 077,479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7 489,839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7 173,722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7 173,722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30 579,362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344,032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2 794,962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236,642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931,805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931,805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1 079,305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3 179,557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4.006 «Обеспечение бесплатным питанием обучающихся, являющихся детьми военнослужащих - участников СВО»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174,300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899,738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1 074,038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3 672,377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2 785,600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886,777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102 512,079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101 846,820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100 740,369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100 740,369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502 519,521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101 784,046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101 119,061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100 042,102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100 042,102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498 924,295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72 549,813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75 485,086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75 108,456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75 108,456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372 640,709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239,239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166,083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1 991,376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21 702,409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104 999,576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219,216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1 060,601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2 497,940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2 744,466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2 726,220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2 726,220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12 921,746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119,172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130,030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1.010. «Обеспечение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3 312,540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3 312,540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обеспечение персонифицированного финансирования».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1.011.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704,104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704,104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1.012.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7,113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7,113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proofErr w:type="spell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существления</w:t>
            </w:r>
            <w:proofErr w:type="spell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единовременной выплаты к началу учебного года работникам муниципальных общеобразовательных учреждений»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727,759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698,267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698,267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3 595,226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727,759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698,267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698,267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3 595,226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3 220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 «Организация и проведение муниципального этапа  Всероссийского </w:t>
            </w: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14 264,057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13 947,396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63 511,735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11 579,968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58 744,782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29 955,900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5 715,768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28 788,882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2 211,419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2 367,428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4 766,953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2 211,419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2 367,428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4 766,953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18 890,060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19 769,485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80 003,658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18 890,060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19 769,485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80 003,658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3 146,236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3 441,543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3 013,133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3 013,133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19 412,668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2 450,386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544,353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2 195,799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1 779,871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1 764,000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4 971,871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9 335,608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10 059,262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9 748,032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9 748,032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38 890,934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84BFF" w:rsidRPr="008D1313" w:rsidTr="00D84BFF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FF" w:rsidRPr="00D84BFF" w:rsidRDefault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84BFF" w:rsidRPr="00D84BFF" w:rsidRDefault="00D84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0,738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FF" w:rsidRPr="00D84BFF" w:rsidRDefault="00D84BFF" w:rsidP="00D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0,549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BFF" w:rsidRPr="00D84BFF" w:rsidRDefault="00D84BF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4BF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033A3A"/>
    <w:rsid w:val="00063552"/>
    <w:rsid w:val="00070C60"/>
    <w:rsid w:val="000B3A6E"/>
    <w:rsid w:val="001335EB"/>
    <w:rsid w:val="001A41E0"/>
    <w:rsid w:val="001C0A15"/>
    <w:rsid w:val="001D7060"/>
    <w:rsid w:val="002D1DEB"/>
    <w:rsid w:val="003A1452"/>
    <w:rsid w:val="004038B9"/>
    <w:rsid w:val="004326DB"/>
    <w:rsid w:val="00435E0D"/>
    <w:rsid w:val="00441140"/>
    <w:rsid w:val="0045779E"/>
    <w:rsid w:val="00475DEF"/>
    <w:rsid w:val="005B5469"/>
    <w:rsid w:val="005F3F8B"/>
    <w:rsid w:val="005F7AB1"/>
    <w:rsid w:val="0061514F"/>
    <w:rsid w:val="006307EF"/>
    <w:rsid w:val="006D4019"/>
    <w:rsid w:val="00757057"/>
    <w:rsid w:val="00776B8A"/>
    <w:rsid w:val="00833F9D"/>
    <w:rsid w:val="008659D4"/>
    <w:rsid w:val="008D1313"/>
    <w:rsid w:val="008D278A"/>
    <w:rsid w:val="009064B4"/>
    <w:rsid w:val="0095748F"/>
    <w:rsid w:val="009700E9"/>
    <w:rsid w:val="0097170E"/>
    <w:rsid w:val="009A4656"/>
    <w:rsid w:val="00A22AC3"/>
    <w:rsid w:val="00A92663"/>
    <w:rsid w:val="00AA32AE"/>
    <w:rsid w:val="00AC2F2F"/>
    <w:rsid w:val="00AF63E7"/>
    <w:rsid w:val="00B422A2"/>
    <w:rsid w:val="00B900D3"/>
    <w:rsid w:val="00BD619A"/>
    <w:rsid w:val="00BE6A94"/>
    <w:rsid w:val="00C276D6"/>
    <w:rsid w:val="00C53189"/>
    <w:rsid w:val="00C80E14"/>
    <w:rsid w:val="00C93122"/>
    <w:rsid w:val="00CA0CC2"/>
    <w:rsid w:val="00CC46D7"/>
    <w:rsid w:val="00CC75CC"/>
    <w:rsid w:val="00CF113C"/>
    <w:rsid w:val="00D55BA0"/>
    <w:rsid w:val="00D84BFF"/>
    <w:rsid w:val="00DE6F5E"/>
    <w:rsid w:val="00E01556"/>
    <w:rsid w:val="00F06CE4"/>
    <w:rsid w:val="00F3611F"/>
    <w:rsid w:val="00FC189A"/>
    <w:rsid w:val="00FC4321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BE6A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Основной текст Знак"/>
    <w:basedOn w:val="a0"/>
    <w:link w:val="a5"/>
    <w:rsid w:val="00BE6A94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7377</Words>
  <Characters>42052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2022-03-10T05:06:00Z</dcterms:created>
  <dcterms:modified xsi:type="dcterms:W3CDTF">2023-07-11T07:15:00Z</dcterms:modified>
</cp:coreProperties>
</file>